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84" w:rsidRDefault="00590F84" w:rsidP="00590F84">
      <w:pPr>
        <w:pStyle w:val="a3"/>
        <w:shd w:val="clear" w:color="auto" w:fill="FFFFFF"/>
        <w:spacing w:before="0" w:beforeAutospacing="0" w:after="0" w:afterAutospacing="0"/>
        <w:ind w:firstLine="720"/>
        <w:jc w:val="right"/>
        <w:rPr>
          <w:rFonts w:ascii="Arial" w:hAnsi="Arial" w:cs="Arial"/>
          <w:color w:val="000000"/>
          <w:sz w:val="17"/>
          <w:szCs w:val="17"/>
        </w:rPr>
      </w:pPr>
      <w:r>
        <w:rPr>
          <w:rFonts w:ascii="Arial" w:hAnsi="Arial" w:cs="Arial"/>
          <w:color w:val="000000"/>
          <w:sz w:val="17"/>
          <w:szCs w:val="17"/>
        </w:rPr>
        <w:t>копия</w:t>
      </w:r>
    </w:p>
    <w:p w:rsidR="00590F84" w:rsidRDefault="00590F84" w:rsidP="00590F84">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РЕШЕНИЕ</w:t>
      </w:r>
    </w:p>
    <w:p w:rsidR="00590F84" w:rsidRDefault="00590F84" w:rsidP="00590F84">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w:t>
      </w:r>
      <w:r>
        <w:rPr>
          <w:rStyle w:val="fio1"/>
          <w:rFonts w:ascii="Arial" w:hAnsi="Arial" w:cs="Arial"/>
          <w:color w:val="000000"/>
          <w:sz w:val="17"/>
          <w:szCs w:val="17"/>
        </w:rPr>
        <w:t>ФИО1</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ДД.ММ.ГГГГ</w:t>
      </w:r>
      <w:r>
        <w:rPr>
          <w:rFonts w:ascii="Arial" w:hAnsi="Arial" w:cs="Arial"/>
          <w:color w:val="000000"/>
          <w:sz w:val="17"/>
          <w:szCs w:val="17"/>
        </w:rPr>
        <w:t> </w:t>
      </w:r>
      <w:r>
        <w:rPr>
          <w:rStyle w:val="address2"/>
          <w:rFonts w:ascii="Arial" w:hAnsi="Arial" w:cs="Arial"/>
          <w:color w:val="000000"/>
          <w:sz w:val="17"/>
          <w:szCs w:val="17"/>
        </w:rPr>
        <w:t>&lt;адрес&gt;</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Красногорский городской суд </w:t>
      </w:r>
      <w:r>
        <w:rPr>
          <w:rStyle w:val="address2"/>
          <w:rFonts w:ascii="Arial" w:hAnsi="Arial" w:cs="Arial"/>
          <w:color w:val="000000"/>
          <w:sz w:val="17"/>
          <w:szCs w:val="17"/>
        </w:rPr>
        <w:t>&lt;адрес&gt;</w:t>
      </w:r>
      <w:r>
        <w:rPr>
          <w:rFonts w:ascii="Arial" w:hAnsi="Arial" w:cs="Arial"/>
          <w:color w:val="000000"/>
          <w:sz w:val="17"/>
          <w:szCs w:val="17"/>
        </w:rPr>
        <w:t> в составе:</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председательствующего судьи Зотовой С.В.,</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секретаре </w:t>
      </w:r>
      <w:r>
        <w:rPr>
          <w:rStyle w:val="fio4"/>
          <w:rFonts w:ascii="Arial" w:hAnsi="Arial" w:cs="Arial"/>
          <w:color w:val="000000"/>
          <w:sz w:val="17"/>
          <w:szCs w:val="17"/>
        </w:rPr>
        <w:t>ФИО4</w:t>
      </w:r>
      <w:r>
        <w:rPr>
          <w:rFonts w:ascii="Arial" w:hAnsi="Arial" w:cs="Arial"/>
          <w:color w:val="000000"/>
          <w:sz w:val="17"/>
          <w:szCs w:val="17"/>
        </w:rPr>
        <w:t>,</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w:t>
      </w:r>
      <w:r>
        <w:rPr>
          <w:rStyle w:val="nomer2"/>
          <w:rFonts w:ascii="Arial" w:hAnsi="Arial" w:cs="Arial"/>
          <w:color w:val="000000"/>
          <w:sz w:val="17"/>
          <w:szCs w:val="17"/>
        </w:rPr>
        <w:t>№</w:t>
      </w:r>
      <w:r>
        <w:rPr>
          <w:rFonts w:ascii="Arial" w:hAnsi="Arial" w:cs="Arial"/>
          <w:color w:val="000000"/>
          <w:sz w:val="17"/>
          <w:szCs w:val="17"/>
        </w:rPr>
        <w:t> по иску </w:t>
      </w:r>
      <w:r>
        <w:rPr>
          <w:rStyle w:val="fio2"/>
          <w:rFonts w:ascii="Arial" w:hAnsi="Arial" w:cs="Arial"/>
          <w:color w:val="000000"/>
          <w:sz w:val="17"/>
          <w:szCs w:val="17"/>
        </w:rPr>
        <w:t>ФИО2</w:t>
      </w:r>
      <w:r>
        <w:rPr>
          <w:rFonts w:ascii="Arial" w:hAnsi="Arial" w:cs="Arial"/>
          <w:color w:val="000000"/>
          <w:sz w:val="17"/>
          <w:szCs w:val="17"/>
        </w:rPr>
        <w:t> к ООО «Ривас МО» о взыскании неустойки,</w:t>
      </w:r>
    </w:p>
    <w:p w:rsidR="00590F84" w:rsidRDefault="00590F84" w:rsidP="00590F84">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Style w:val="fio2"/>
          <w:rFonts w:ascii="Arial" w:hAnsi="Arial" w:cs="Arial"/>
          <w:color w:val="000000"/>
          <w:sz w:val="17"/>
          <w:szCs w:val="17"/>
        </w:rPr>
        <w:t>ФИО2</w:t>
      </w:r>
      <w:r>
        <w:rPr>
          <w:rFonts w:ascii="Arial" w:hAnsi="Arial" w:cs="Arial"/>
          <w:color w:val="000000"/>
          <w:sz w:val="17"/>
          <w:szCs w:val="17"/>
        </w:rPr>
        <w:t> обратилась в суд с указанным выше иском, в обоснование которого указала, что </w:t>
      </w:r>
      <w:r>
        <w:rPr>
          <w:rStyle w:val="data2"/>
          <w:rFonts w:ascii="Arial" w:hAnsi="Arial" w:cs="Arial"/>
          <w:color w:val="000000"/>
          <w:sz w:val="17"/>
          <w:szCs w:val="17"/>
        </w:rPr>
        <w:t>ДД.ММ.ГГГГ</w:t>
      </w:r>
      <w:r>
        <w:rPr>
          <w:rFonts w:ascii="Arial" w:hAnsi="Arial" w:cs="Arial"/>
          <w:color w:val="000000"/>
          <w:sz w:val="17"/>
          <w:szCs w:val="17"/>
        </w:rPr>
        <w:t> заключила с ответчиком договор участия в долевом строительстве №КП-30-1-14-5, предметом которого является приобретение истцом имущественных прав на квартиру в строящемся доме вблизи </w:t>
      </w:r>
      <w:r>
        <w:rPr>
          <w:rStyle w:val="address2"/>
          <w:rFonts w:ascii="Arial" w:hAnsi="Arial" w:cs="Arial"/>
          <w:color w:val="000000"/>
          <w:sz w:val="17"/>
          <w:szCs w:val="17"/>
        </w:rPr>
        <w:t>&lt;адрес&gt;</w:t>
      </w:r>
      <w:r>
        <w:rPr>
          <w:rFonts w:ascii="Arial" w:hAnsi="Arial" w:cs="Arial"/>
          <w:color w:val="000000"/>
          <w:sz w:val="17"/>
          <w:szCs w:val="17"/>
        </w:rPr>
        <w:t>, со сроком передачи объекта – не позднее </w:t>
      </w:r>
      <w:r>
        <w:rPr>
          <w:rStyle w:val="data2"/>
          <w:rFonts w:ascii="Arial" w:hAnsi="Arial" w:cs="Arial"/>
          <w:color w:val="000000"/>
          <w:sz w:val="17"/>
          <w:szCs w:val="17"/>
        </w:rPr>
        <w:t>ДД.ММ.ГГГГ</w:t>
      </w:r>
      <w:r>
        <w:rPr>
          <w:rFonts w:ascii="Arial" w:hAnsi="Arial" w:cs="Arial"/>
          <w:color w:val="000000"/>
          <w:sz w:val="17"/>
          <w:szCs w:val="17"/>
        </w:rPr>
        <w:t>.</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указала, что исполнила в полном объеме взятые на себя по договору обязательства, перечислила ответчику обусловленную договором денежную сумму – 5 316 038,40 рублей.</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 договорные обязательства нарушил, в обусловленный договором срок квартиру не передал.</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Направленная истцом в адрес ответчика претензия с требованием оплатить неустойку за нарушение срока передачи объекта, оставлена ответчиком без исполнения.</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таких обстоятельствах истец обратился в суд, просит суд взыскать с ответчика неустойку за период с 01.01.2017г. по 10.01.2018г. в размере 1 029 982,36 рублей, просит взыскать штраф.</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судебное заседание представитель истца явился, заявленные исковые требования поддержал.</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ответчика ООО «Ривас МО в судебное заседание не явился. Представила суду отзыв, в котором указал, что срок окончания строительства увеличен по уважительной причине, длительного оформления исходно-разрешительной документации для присоединения строящихся домов к инженерным сетям и коммуникациям микрорайона. Сроки строительства продлевались в установленном законом порядке, </w:t>
      </w:r>
      <w:r>
        <w:rPr>
          <w:rStyle w:val="data2"/>
          <w:rFonts w:ascii="Arial" w:hAnsi="Arial" w:cs="Arial"/>
          <w:color w:val="000000"/>
          <w:sz w:val="17"/>
          <w:szCs w:val="17"/>
        </w:rPr>
        <w:t>ДД.ММ.ГГГГ</w:t>
      </w:r>
      <w:r>
        <w:rPr>
          <w:rFonts w:ascii="Arial" w:hAnsi="Arial" w:cs="Arial"/>
          <w:color w:val="000000"/>
          <w:sz w:val="17"/>
          <w:szCs w:val="17"/>
        </w:rPr>
        <w:t> получено разрешение на ввод дома в эксплуатацию. Ответчик ходатайствует о снижении размера неустойки, ссылаясь на ее несоразмерность наступившим последствиям.</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Ознакомившись с доводами сторон, исследовав и оценив представленные по делу доказательства, суд считает иск подлежащим частичному удовлетворению, учитывая следующее.</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ст.310 ГК РФ односторонний отказ от исполнения обязательств и одностороннее изменение его условий не допускаются, за исключением случаев, предусмотренных законом.</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п.1 ст.314 ГК РФ,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п.1 ст.401 ГК РФ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Из материалов дела следует, что </w:t>
      </w:r>
      <w:r>
        <w:rPr>
          <w:rStyle w:val="data2"/>
          <w:rFonts w:ascii="Arial" w:hAnsi="Arial" w:cs="Arial"/>
          <w:color w:val="000000"/>
          <w:sz w:val="17"/>
          <w:szCs w:val="17"/>
        </w:rPr>
        <w:t>ДД.ММ.ГГГГ</w:t>
      </w:r>
      <w:r>
        <w:rPr>
          <w:rFonts w:ascii="Arial" w:hAnsi="Arial" w:cs="Arial"/>
          <w:color w:val="000000"/>
          <w:sz w:val="17"/>
          <w:szCs w:val="17"/>
        </w:rPr>
        <w:t> между сторонами по делу заключен договор участия в долевом строительстве №КП-30-1-14-5, предметом которого является приобретение истцом имущественных прав на квартиру в строящемся доме вблизи </w:t>
      </w:r>
      <w:r>
        <w:rPr>
          <w:rStyle w:val="address2"/>
          <w:rFonts w:ascii="Arial" w:hAnsi="Arial" w:cs="Arial"/>
          <w:color w:val="000000"/>
          <w:sz w:val="17"/>
          <w:szCs w:val="17"/>
        </w:rPr>
        <w:t>&lt;адрес&gt;</w:t>
      </w:r>
      <w:r>
        <w:rPr>
          <w:rFonts w:ascii="Arial" w:hAnsi="Arial" w:cs="Arial"/>
          <w:color w:val="000000"/>
          <w:sz w:val="17"/>
          <w:szCs w:val="17"/>
        </w:rPr>
        <w:t>, со сроком передачи объекта – не позднее </w:t>
      </w:r>
      <w:r>
        <w:rPr>
          <w:rStyle w:val="data2"/>
          <w:rFonts w:ascii="Arial" w:hAnsi="Arial" w:cs="Arial"/>
          <w:color w:val="000000"/>
          <w:sz w:val="17"/>
          <w:szCs w:val="17"/>
        </w:rPr>
        <w:t>ДД.ММ.ГГГГ</w:t>
      </w:r>
      <w:r>
        <w:rPr>
          <w:rFonts w:ascii="Arial" w:hAnsi="Arial" w:cs="Arial"/>
          <w:color w:val="000000"/>
          <w:sz w:val="17"/>
          <w:szCs w:val="17"/>
        </w:rPr>
        <w:t>.</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Судом установлено, что истец исполнила в полном объеме свои договорные обязательства, перечислила ответчику обусловленную договором денежную сумму. Данное обстоятельство ответчиком не оспаривается.</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 исполнил свои договорные обязательства с нарушением срока, поскольку согласно представленным ответчиком документам разрешение на ввод дома в эксплуатацию получено </w:t>
      </w:r>
      <w:r>
        <w:rPr>
          <w:rStyle w:val="data2"/>
          <w:rFonts w:ascii="Arial" w:hAnsi="Arial" w:cs="Arial"/>
          <w:color w:val="000000"/>
          <w:sz w:val="17"/>
          <w:szCs w:val="17"/>
        </w:rPr>
        <w:t>ДД.ММ.ГГГГ</w:t>
      </w:r>
      <w:r>
        <w:rPr>
          <w:rFonts w:ascii="Arial" w:hAnsi="Arial" w:cs="Arial"/>
          <w:color w:val="000000"/>
          <w:sz w:val="17"/>
          <w:szCs w:val="17"/>
        </w:rPr>
        <w:t>, квартира истцу до настоящего времени не передана.</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со стороны ответчика имеет место просрочка в передаче объекта долевого строительства истцу.</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Факт наличия просрочки в передаче квартиры истцу не отрицается ответчиком.</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Статьей 6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установлено, что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 3 настоящей статьи (ч.1).</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статьей неустойка (пени) уплачивается застройщиком в двойном размере (ч.2).</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 (ч.3).</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Принимая во внимание, что в ходе судебного разбирательства факт нарушения ответчиком срока передачи истцу квартиры нашел свое подтверждение, с ответчика подлежит взысканию неустойка. Однако, суд считает, что заявленный истцом размер неустойки несоразмерен последствиям неисполненного в срок обязательства.</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ст.333 ГК РФ, если подлежащая уплате неустойка явно несоразмерна последствиям нарушения обязательства, суд вправе уменьшить неустойку.</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положений п.75 Постановления Пленума Верховного Суда от </w:t>
      </w:r>
      <w:r>
        <w:rPr>
          <w:rStyle w:val="data2"/>
          <w:rFonts w:ascii="Arial" w:hAnsi="Arial" w:cs="Arial"/>
          <w:color w:val="000000"/>
          <w:sz w:val="17"/>
          <w:szCs w:val="17"/>
        </w:rPr>
        <w:t>ДД.ММ.ГГГГ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«О применении судами некоторых положений Гражданского кодекса Российской Федерации об ответственности за нарушение обязательств» при оценке соразмерности неустойки последствиям нарушения обязательства необходимо учитывать, что никто не вправе извлекать преимущества из своего незаконного поведения, а также то, что неправомерное пользование чужими денежными средствами не должно быть более выгодным для должника, чем условия правомерного пользования (п.п. 3,4 ст.1 ГК РФ). Доказательствами обоснованности размера неустойки могут служить, в частности, данные о среднем размере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правовой позиции, изложенной в Определении Конституционного Суда Российской Федерации от 21.12.2000г. </w:t>
      </w:r>
      <w:r>
        <w:rPr>
          <w:rStyle w:val="nomer2"/>
          <w:rFonts w:ascii="Arial" w:hAnsi="Arial" w:cs="Arial"/>
          <w:color w:val="000000"/>
          <w:sz w:val="17"/>
          <w:szCs w:val="17"/>
        </w:rPr>
        <w:t>№</w:t>
      </w:r>
      <w:r>
        <w:rPr>
          <w:rFonts w:ascii="Arial" w:hAnsi="Arial" w:cs="Arial"/>
          <w:color w:val="000000"/>
          <w:sz w:val="17"/>
          <w:szCs w:val="17"/>
        </w:rPr>
        <w:t>-О предоставленная суду возможность снижать размер неустойки в случае ее несоразмерности по сравнению с последствиями нарушения обязательств направлена против злоупотребления правом свободного определения размера неустойки, то есть по существу – на реализацию требования ст.17 Конституции РФ, согласно которой осуществление прав и свобод человека и гражданина не должно нарушать права и свободы других лиц, именно поэтому в п.1. ст.333 ГК РФ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 что исключает для истца возможность неосновательного обогащения за счет ответчика путем взыскания неустойки в завышенном размере.</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учитывая ходатайство ответчика о применении положений ст.333 ГК РФ, конкретные обстоятельства дела, а именно, что между сторонами был заключен договор, условиями которого являются не денежные обязательства, а передача вновь построенного объекта недвижимости, учитывая также несоразмерность заявленной неустойки, характер и последствия нарушения прав истца, а также средний показатель инфляции за спорный период, в целях соблюдения баланса прав сторон, считает целесообразным ограничиться взысканием неустойки в размере 500 000 рублей за период с 01.01.2017г. по 10.01.2018г., что является более разумным по сравнению с заявленным истцом размером неустойки.</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п.6 ст.13 Закона Российской Федерации «О защите прав потребителей» суд налагает штраф за неудовлетворение требований потребителя в добровольном порядке в размере 50% от суммы, взысканной в пользу потребителя.</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Вместе с тем, учитывая компенсационную природу штрафа, в силу ст.333 ГК РФ, в целях соблюдения баланса прав сторон, суд считает необходимым уменьшить подлежащий взысканию штраф до 250 000 рублей.</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положений ч.1 ст.98 ГПК РФ, ст.100 ГПК РФ истцу подлежат возмещению судебные расходы, приходящиеся на оплату услуг представителя, поскольку эти расходы истца являются документально подтвержденными.</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Определяя подлежащую взысканию сумму в счет возмещения расходов на оплату услуг представителя, суд учитывает несложность данной категории спора, учитывает проделанную представителем по делу работу, частичное удовлетворение иска, принимает во внимание принцип разумности и полагает, что в счет возмещения расходов на оплату услуг представителя следует ограничиться взысканием 5 000 рублей, на оплату почтовых услуг 177,04 рублей, поскольку эти расходы являются документально подтвержденными.</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Оснований для возмещения истцу расходов на нотариальное удостоверение доверенности представителя у суда не имеется.</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разъяснениями, содержащимися в п.13 Пленума Верховного Суда Российской Федерации от 21.01.2016г. </w:t>
      </w:r>
      <w:r>
        <w:rPr>
          <w:rStyle w:val="nomer2"/>
          <w:rFonts w:ascii="Arial" w:hAnsi="Arial" w:cs="Arial"/>
          <w:color w:val="000000"/>
          <w:sz w:val="17"/>
          <w:szCs w:val="17"/>
        </w:rPr>
        <w:t>№</w:t>
      </w:r>
      <w:r>
        <w:rPr>
          <w:rFonts w:ascii="Arial" w:hAnsi="Arial" w:cs="Arial"/>
          <w:color w:val="000000"/>
          <w:sz w:val="17"/>
          <w:szCs w:val="17"/>
        </w:rPr>
        <w:t> «О некоторых вопросах применения законодательства о возмещении издержек связанных с рассмотрением дела»,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п.2 названного выше Постановления Пленума Верховного Суда Российской Федерации, расходы на оформление доверенности представителя могут быть признаны судебными издержками, если такая доверенность выдана для участия представителя в конкретном деле или конкретном судебном заседании по делу.</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Принимая во внимание, что доверенность выдана истцом не для представления его интересов именно по данному рассматриваемому делу, а на общее представление интересов доверителя по всем судебным делам в течение периода действия доверенности, суд считает, что следует отказать истцу в возмещении расходов на нотариальное удостоверение доверенности.</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Всего подлежит взысканию в пользу истца 750 000 рублей.</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Учитывая, что истец освобожден от уплаты государственной пошлины, то подлежащую уплате в бюджет государственную пошлину следует отнести на счет ответчика пропорционально размеру удовлетворенных судом требований истца. Согласно положениям ст. 333.19 НК РФ размер подлежащей взысканию государственной пошлины составляет 8 200 рублей ((500 000 - 200 000) х 1% + 5 200= =8 200).</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изложенного и руководствуясь ст.ст. 194-199 ГПК РФ, суд</w:t>
      </w:r>
    </w:p>
    <w:p w:rsidR="00590F84" w:rsidRDefault="00590F84" w:rsidP="00590F84">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РЕШИЛ:</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Исковое заявление удовлетворить частично.</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ООО «Ривас МО» в пользу </w:t>
      </w:r>
      <w:r>
        <w:rPr>
          <w:rStyle w:val="fio2"/>
          <w:rFonts w:ascii="Arial" w:hAnsi="Arial" w:cs="Arial"/>
          <w:color w:val="000000"/>
          <w:sz w:val="17"/>
          <w:szCs w:val="17"/>
        </w:rPr>
        <w:t>ФИО2</w:t>
      </w:r>
      <w:r>
        <w:rPr>
          <w:rFonts w:ascii="Arial" w:hAnsi="Arial" w:cs="Arial"/>
          <w:color w:val="000000"/>
          <w:sz w:val="17"/>
          <w:szCs w:val="17"/>
        </w:rPr>
        <w:t> неустойку за период с 01.01.2017г. по 10.01.2018г. – 500 000 рублей, штраф – 250 000 рублей, всего взыскать 750 000 (семьсот пятьдесят тысяч) рублей.</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остальной части исковые требования о взыскании денежных средств – оставить без удовлетворения.</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ООО «Ривас МО» в бюджет Красногорского муниципального района </w:t>
      </w:r>
      <w:r>
        <w:rPr>
          <w:rStyle w:val="address2"/>
          <w:rFonts w:ascii="Arial" w:hAnsi="Arial" w:cs="Arial"/>
          <w:color w:val="000000"/>
          <w:sz w:val="17"/>
          <w:szCs w:val="17"/>
        </w:rPr>
        <w:t>&lt;адрес&gt;</w:t>
      </w:r>
      <w:r>
        <w:rPr>
          <w:rFonts w:ascii="Arial" w:hAnsi="Arial" w:cs="Arial"/>
          <w:color w:val="000000"/>
          <w:sz w:val="17"/>
          <w:szCs w:val="17"/>
        </w:rPr>
        <w:t> государственную пошлину в размере 8 200 (восемь тысяч двести) рублей.</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может быть обжаловано в апелляционном порядке в Московский областной суд через Красногорский городской суд в течение 1 месяца.</w:t>
      </w:r>
    </w:p>
    <w:p w:rsidR="00590F84" w:rsidRDefault="00590F84" w:rsidP="00590F84">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Федеральный судья: подпись</w:t>
      </w:r>
    </w:p>
    <w:p w:rsidR="009A6B55" w:rsidRDefault="009A6B55">
      <w:bookmarkStart w:id="0" w:name="_GoBack"/>
      <w:bookmarkEnd w:id="0"/>
    </w:p>
    <w:sectPr w:rsidR="009A6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F9"/>
    <w:rsid w:val="004431F9"/>
    <w:rsid w:val="00534294"/>
    <w:rsid w:val="00590F84"/>
    <w:rsid w:val="0061509D"/>
    <w:rsid w:val="008E596B"/>
    <w:rsid w:val="009A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590F84"/>
  </w:style>
  <w:style w:type="character" w:customStyle="1" w:styleId="data2">
    <w:name w:val="data2"/>
    <w:basedOn w:val="a0"/>
    <w:rsid w:val="00590F84"/>
  </w:style>
  <w:style w:type="character" w:customStyle="1" w:styleId="address2">
    <w:name w:val="address2"/>
    <w:basedOn w:val="a0"/>
    <w:rsid w:val="00590F84"/>
  </w:style>
  <w:style w:type="character" w:customStyle="1" w:styleId="fio4">
    <w:name w:val="fio4"/>
    <w:basedOn w:val="a0"/>
    <w:rsid w:val="00590F84"/>
  </w:style>
  <w:style w:type="character" w:customStyle="1" w:styleId="nomer2">
    <w:name w:val="nomer2"/>
    <w:basedOn w:val="a0"/>
    <w:rsid w:val="00590F84"/>
  </w:style>
  <w:style w:type="character" w:customStyle="1" w:styleId="fio2">
    <w:name w:val="fio2"/>
    <w:basedOn w:val="a0"/>
    <w:rsid w:val="00590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590F84"/>
  </w:style>
  <w:style w:type="character" w:customStyle="1" w:styleId="data2">
    <w:name w:val="data2"/>
    <w:basedOn w:val="a0"/>
    <w:rsid w:val="00590F84"/>
  </w:style>
  <w:style w:type="character" w:customStyle="1" w:styleId="address2">
    <w:name w:val="address2"/>
    <w:basedOn w:val="a0"/>
    <w:rsid w:val="00590F84"/>
  </w:style>
  <w:style w:type="character" w:customStyle="1" w:styleId="fio4">
    <w:name w:val="fio4"/>
    <w:basedOn w:val="a0"/>
    <w:rsid w:val="00590F84"/>
  </w:style>
  <w:style w:type="character" w:customStyle="1" w:styleId="nomer2">
    <w:name w:val="nomer2"/>
    <w:basedOn w:val="a0"/>
    <w:rsid w:val="00590F84"/>
  </w:style>
  <w:style w:type="character" w:customStyle="1" w:styleId="fio2">
    <w:name w:val="fio2"/>
    <w:basedOn w:val="a0"/>
    <w:rsid w:val="0059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1897</Words>
  <Characters>10819</Characters>
  <Application>Microsoft Office Word</Application>
  <DocSecurity>0</DocSecurity>
  <Lines>90</Lines>
  <Paragraphs>25</Paragraphs>
  <ScaleCrop>false</ScaleCrop>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2018-10-23T15:56:00Z</dcterms:created>
  <dcterms:modified xsi:type="dcterms:W3CDTF">2018-10-23T15:56:00Z</dcterms:modified>
</cp:coreProperties>
</file>